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hanging="0"/>
        <w:jc w:val="left"/>
        <w:rPr>
          <w:rFonts w:ascii="Times New Roman" w:hAnsi="Times New Roman"/>
          <w:b/>
          <w:color w:val="333333"/>
          <w:sz w:val="24"/>
          <w:szCs w:val="24"/>
        </w:rPr>
      </w:pPr>
      <w:r>
        <w:rPr>
          <w:rFonts w:ascii="Times New Roman" w:hAnsi="Times New Roman"/>
          <w:b/>
          <w:i w:val="false"/>
          <w:caps w:val="false"/>
          <w:smallCaps w:val="false"/>
          <w:color w:val="333333"/>
          <w:spacing w:val="0"/>
          <w:sz w:val="24"/>
          <w:szCs w:val="24"/>
        </w:rPr>
        <w:t xml:space="preserve">1. </w:t>
      </w:r>
      <w:r>
        <w:rPr>
          <w:rFonts w:ascii="Times New Roman" w:hAnsi="Times New Roman"/>
          <w:b/>
          <w:color w:val="333333"/>
          <w:sz w:val="24"/>
          <w:szCs w:val="24"/>
        </w:rPr>
        <w:t>Возможность совместного нахождения родителя с ребенком при оказании медицинской помощи в стационарных условиях</w:t>
      </w:r>
    </w:p>
    <w:p>
      <w:pPr>
        <w:pStyle w:val="Normal"/>
        <w:spacing w:lineRule="atLeast" w:line="240" w:before="0" w:after="80"/>
        <w:ind w:left="0" w:right="480" w:hanging="0"/>
        <w:rPr>
          <w:b/>
          <w:b/>
          <w:i w:val="false"/>
          <w:i w:val="false"/>
          <w:caps w:val="false"/>
          <w:smallCaps w:val="false"/>
          <w:color w:val="FFFFFF"/>
          <w:spacing w:val="0"/>
          <w:shd w:fill="1E3685" w:val="clear"/>
        </w:rPr>
      </w:pPr>
      <w:r>
        <w:rPr>
          <w:rFonts w:ascii="Times New Roman" w:hAnsi="Times New Roman"/>
          <w:sz w:val="24"/>
          <w:szCs w:val="24"/>
        </w:rPr>
      </w:r>
    </w:p>
    <w:p>
      <w:pPr>
        <w:pStyle w:val="Style16"/>
        <w:widowControl/>
        <w:spacing w:lineRule="auto" w:line="384" w:before="0" w:after="140"/>
        <w:ind w:left="0" w:right="0" w:hanging="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В течение всего периода лечения независимо от возраста ребенка одному из родителей, члену семьи или иному законному представителю предоставляется право на бесплатное совместное нахождение с ребенкомв медицинской организации при оказании ему медицинской помощив стационарных условиях (ст.51 Федерального закона от 21.11.2011№ 323-ФЗ «Об основах охраны здоровья граждан в Российской Федерации»).</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При этом, родителю (законному представителю, члену семьи) ребенка, не достигшему возраста четырех лет, бесплатно предоставляется спальное место и питание. Если ребенок старше четырех лет, в том числе является ребенком-инвалидом, то бесплатное спальное место и питание его родителям предоставляется при наличии медицинских показаний.</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К таким медицинским показаниям Министерство здравоохранения Российской Федерации относит:</w:t>
      </w:r>
    </w:p>
    <w:p>
      <w:pPr>
        <w:pStyle w:val="Style16"/>
        <w:widowControl/>
        <w:numPr>
          <w:ilvl w:val="0"/>
          <w:numId w:val="1"/>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тяжелые двигательные нарушения – ребенок не может ходить, ходит с помощью ходунков, костылей или передвигается на кресле-коляске;</w:t>
      </w:r>
    </w:p>
    <w:p>
      <w:pPr>
        <w:pStyle w:val="Style16"/>
        <w:widowControl/>
        <w:numPr>
          <w:ilvl w:val="0"/>
          <w:numId w:val="1"/>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выраженные сенсорные нарушения (некорригируемая глухота, слепота, слабовидение);</w:t>
      </w:r>
    </w:p>
    <w:p>
      <w:pPr>
        <w:pStyle w:val="Style16"/>
        <w:widowControl/>
        <w:numPr>
          <w:ilvl w:val="0"/>
          <w:numId w:val="1"/>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психические расстройства, при которых ребенок не может соблюдать личную безопасность, обслуживать себя, не понимает обращенной речии т.п.;</w:t>
      </w:r>
    </w:p>
    <w:p>
      <w:pPr>
        <w:pStyle w:val="Style16"/>
        <w:widowControl/>
        <w:numPr>
          <w:ilvl w:val="0"/>
          <w:numId w:val="1"/>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не реже 3 - 4 раз в месяц приступы частичной или полной потери сознания (тонические, клонические судороги и др.), не компенсируемые лекарствами;</w:t>
      </w:r>
    </w:p>
    <w:p>
      <w:pPr>
        <w:pStyle w:val="Style16"/>
        <w:widowControl/>
        <w:numPr>
          <w:ilvl w:val="0"/>
          <w:numId w:val="1"/>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высокий риск гипо- и гипергликемии у детей с сахарным диабетом, когда нужен постоянный контроль уровня глюкозы в крови.</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В иных случаях решение о наличии показаний принимает лечащий врач медицинской организации, в которой ребенку оказывается медицинская помощь в стационарных условиях.</w:t>
      </w:r>
    </w:p>
    <w:p>
      <w:pPr>
        <w:pStyle w:val="Normal"/>
        <w:widowControl/>
        <w:bidi w:val="0"/>
        <w:ind w:left="0" w:right="0" w:hanging="0"/>
        <w:jc w:val="left"/>
        <w:rPr>
          <w:rFonts w:ascii="Times New Roman" w:hAnsi="Times New Roman"/>
          <w:sz w:val="24"/>
          <w:szCs w:val="24"/>
        </w:rPr>
      </w:pPr>
      <w:r>
        <w:rPr>
          <w:rFonts w:ascii="Times New Roman" w:hAnsi="Times New Roman"/>
          <w:b/>
          <w:i w:val="false"/>
          <w:caps w:val="false"/>
          <w:smallCaps w:val="false"/>
          <w:color w:val="333333"/>
          <w:spacing w:val="0"/>
          <w:sz w:val="24"/>
          <w:szCs w:val="24"/>
        </w:rPr>
        <w:t xml:space="preserve">2. </w:t>
      </w:r>
      <w:r>
        <w:rPr>
          <w:rFonts w:ascii="Times New Roman" w:hAnsi="Times New Roman"/>
          <w:b/>
          <w:color w:val="333333"/>
          <w:sz w:val="24"/>
          <w:szCs w:val="24"/>
        </w:rPr>
        <w:t>Право ребенка на защиту</w:t>
      </w:r>
    </w:p>
    <w:p>
      <w:pPr>
        <w:pStyle w:val="Normal"/>
        <w:spacing w:lineRule="atLeast" w:line="240" w:before="0" w:after="80"/>
        <w:ind w:left="0" w:right="480" w:hanging="0"/>
        <w:rPr>
          <w:b/>
          <w:b/>
          <w:i w:val="false"/>
          <w:i w:val="false"/>
          <w:caps w:val="false"/>
          <w:smallCaps w:val="false"/>
          <w:color w:val="FFFFFF"/>
          <w:spacing w:val="0"/>
          <w:shd w:fill="1E3685" w:val="clear"/>
        </w:rPr>
      </w:pPr>
      <w:r>
        <w:rPr>
          <w:rFonts w:ascii="Times New Roman" w:hAnsi="Times New Roman"/>
          <w:sz w:val="24"/>
          <w:szCs w:val="24"/>
        </w:rPr>
      </w:r>
    </w:p>
    <w:p>
      <w:pPr>
        <w:pStyle w:val="Style16"/>
        <w:widowControl/>
        <w:spacing w:lineRule="auto" w:line="384" w:before="0" w:after="140"/>
        <w:ind w:left="0" w:right="0" w:hanging="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Семейным кодексом Российской Федерации (далее -СК РФ) и другими нормативными правовыми актами Российской Федерации.</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Ребенок может осуществлять защиту своих прав и законных интересов как самостоятельно, так и через родителей или лиц, их заменяющих.</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Не могут осуществлять защиту прав ребенка лица:</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лишенные (ограниченные) в родительских правах;</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у которых дети отобраны по решению суда либо органом опеки и попечительства;</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признанные недееспособными или ограниченные в дееспособности.</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Защита прав ребенка может осуществляется в судебном и во внесудебном порядке.</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С просьбой о защите прав ребенок может обратиться в органы опеки и попечительства,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а также в прокуратуру.</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Законом установлена обязанность должностных лиц организаций и граждан сообщить в орган опеки и попечительства по месту фактического нахождения ребенка о фактах угрозы жизни и здоровью ребенка, а также о нарушении его прав и законных интересов (ст. 122 СК РФ).</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На органы опеки и попечительства возложена защита прав и интересов детей в случаях (ст. 121 СК РФ):</w:t>
      </w:r>
    </w:p>
    <w:p>
      <w:pPr>
        <w:pStyle w:val="Style16"/>
        <w:widowControl/>
        <w:numPr>
          <w:ilvl w:val="0"/>
          <w:numId w:val="2"/>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смерти родителей;</w:t>
      </w:r>
    </w:p>
    <w:p>
      <w:pPr>
        <w:pStyle w:val="Style16"/>
        <w:widowControl/>
        <w:numPr>
          <w:ilvl w:val="0"/>
          <w:numId w:val="2"/>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лишения (ограничения) их родительских прав;</w:t>
      </w:r>
    </w:p>
    <w:p>
      <w:pPr>
        <w:pStyle w:val="Style16"/>
        <w:widowControl/>
        <w:numPr>
          <w:ilvl w:val="0"/>
          <w:numId w:val="2"/>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признания родителей недееспособными;</w:t>
      </w:r>
    </w:p>
    <w:p>
      <w:pPr>
        <w:pStyle w:val="Style16"/>
        <w:widowControl/>
        <w:numPr>
          <w:ilvl w:val="0"/>
          <w:numId w:val="2"/>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болезни родителей;</w:t>
      </w:r>
    </w:p>
    <w:p>
      <w:pPr>
        <w:pStyle w:val="Style16"/>
        <w:widowControl/>
        <w:numPr>
          <w:ilvl w:val="0"/>
          <w:numId w:val="2"/>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длительного отсутствия родителей;</w:t>
      </w:r>
    </w:p>
    <w:p>
      <w:pPr>
        <w:pStyle w:val="Style16"/>
        <w:widowControl/>
        <w:numPr>
          <w:ilvl w:val="0"/>
          <w:numId w:val="2"/>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уклонения родителей от воспитания детей или от защиты их прав и интересов;</w:t>
      </w:r>
    </w:p>
    <w:p>
      <w:pPr>
        <w:pStyle w:val="Style16"/>
        <w:widowControl/>
        <w:numPr>
          <w:ilvl w:val="0"/>
          <w:numId w:val="2"/>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w:t>
      </w:r>
    </w:p>
    <w:p>
      <w:pPr>
        <w:pStyle w:val="Style16"/>
        <w:widowControl/>
        <w:numPr>
          <w:ilvl w:val="0"/>
          <w:numId w:val="2"/>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w:t>
      </w:r>
    </w:p>
    <w:p>
      <w:pPr>
        <w:pStyle w:val="Style16"/>
        <w:widowControl/>
        <w:numPr>
          <w:ilvl w:val="0"/>
          <w:numId w:val="2"/>
        </w:numPr>
        <w:pBdr/>
        <w:tabs>
          <w:tab w:val="clear" w:pos="709"/>
          <w:tab w:val="left" w:pos="0" w:leader="none"/>
        </w:tabs>
        <w:spacing w:lineRule="auto" w:line="384" w:before="0" w:after="140"/>
        <w:ind w:left="707" w:hanging="283"/>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других случаях отсутствия родительского попечения.</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При угрозе жизни или здоровью ребенка орган опеки и попечительства имеет право самостоятельно отобрать ребенка у родителей.</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Особая роль в защите законных прав и интересов ребенка законом предоставлена органам прокуратуры.</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Прокурор принимает обязательное участие в рассмотрении судами дел по следующим категориям:</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 лишении родительских прав;</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 восстановлении в родительских правах;</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об ограничении в родительских правах;</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об усыновлении (удочерении) ребенка;</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об отмене усыновления (удочерения) ребенка;</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об объявлении несовершеннолетнего полностью дееспособным (эмансипация);</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об ограничении или о лишении несовершеннолетнего в возрасте от 14 до 18 лет права самостоятельно распоряжаться своими доходами;</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 защите интересов несовершеннолетнего, в случае отказа законного представителя от медицинского вмешательства, необходимого для спасения жизни.</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Прокурор наделен правом обращения в суд с требованиями:</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 лишении родительских прав и взыскании алиментов;</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об ограничении родительских прав;</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 признании недействительным соглашения об уплате алиментов;</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 об отмене усыновления (удочерения) ребенка и др.</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Самостоятельное обращение ребенка в суд возможно при достижении им возраста 14 лет, а также, в случае приобретения полной дееспособности в порядке эмансипации либо при вступлении в брак до совершеннолетия.</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Разрешение судами споров, связанных с воспитанием детей осуществляется с учетом мнения ребенка, при обязательном участии органов опеки и попечительства, а также прокурора.</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Информирование органов опеки и попечительства, органов государственной власти о фактах неисполнения или ненадлежащего исполнения родителями обязанностей по воспитанию, образованию, а также угрозы жизни и здоровью детей способствует принятию своевременных мер по защите их прав и законных интересов.</w:t>
      </w:r>
    </w:p>
    <w:p>
      <w:pPr>
        <w:pStyle w:val="Style16"/>
        <w:widowControl/>
        <w:spacing w:lineRule="auto" w:line="384" w:before="0" w:after="140"/>
        <w:jc w:val="left"/>
        <w:rPr>
          <w:rFonts w:ascii="Times New Roman" w:hAnsi="Times New Roman"/>
          <w:sz w:val="24"/>
          <w:szCs w:val="24"/>
        </w:rPr>
      </w:pPr>
      <w:r>
        <w:rPr>
          <w:rFonts w:ascii="Times New Roman" w:hAnsi="Times New Roman"/>
          <w:b/>
          <w:color w:val="333333"/>
          <w:sz w:val="24"/>
          <w:szCs w:val="24"/>
        </w:rPr>
        <w:t xml:space="preserve"> </w:t>
      </w:r>
      <w:r>
        <w:rPr>
          <w:rFonts w:ascii="Times New Roman" w:hAnsi="Times New Roman"/>
          <w:b/>
          <w:color w:val="333333"/>
          <w:sz w:val="24"/>
          <w:szCs w:val="24"/>
        </w:rPr>
        <w:t>3. О</w:t>
      </w:r>
      <w:r>
        <w:rPr>
          <w:rFonts w:ascii="Times New Roman" w:hAnsi="Times New Roman"/>
          <w:b/>
          <w:color w:val="333333"/>
          <w:sz w:val="24"/>
          <w:szCs w:val="24"/>
        </w:rPr>
        <w:t>тветственность за вред, причиненный несовершеннолетнему в образовательном учреждении</w:t>
      </w:r>
    </w:p>
    <w:p>
      <w:pPr>
        <w:pStyle w:val="Style16"/>
        <w:widowControl/>
        <w:spacing w:lineRule="auto" w:line="384" w:before="0" w:after="140"/>
        <w:ind w:left="0" w:right="0" w:hanging="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Создание необходимых условий для охраны и укрепления здоровья обучающихся относится к компетенции образовательной организации.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обучающимися во время пребывания в организации, осуществляющей образовательную деятельность.</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Согласно статье 1073 Гражданского кодекса Российской Федерации,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здоровья.В случае если вред в добровольном порядке не возмещен, его взыскание возможно при обращении с иском в суд.</w:t>
      </w:r>
    </w:p>
    <w:p>
      <w:pPr>
        <w:pStyle w:val="Style16"/>
        <w:spacing w:before="0" w:after="0"/>
        <w:rPr>
          <w:rFonts w:ascii="Times New Roman" w:hAnsi="Times New Roman"/>
          <w:sz w:val="24"/>
          <w:szCs w:val="24"/>
        </w:rPr>
      </w:pPr>
      <w:r>
        <w:rPr>
          <w:rFonts w:ascii="Times New Roman" w:hAnsi="Times New Roman"/>
          <w:sz w:val="24"/>
          <w:szCs w:val="24"/>
        </w:rPr>
        <w:t xml:space="preserve">4. </w:t>
      </w:r>
      <w:r>
        <w:rPr>
          <w:rFonts w:ascii="Times New Roman" w:hAnsi="Times New Roman"/>
          <w:b/>
          <w:color w:val="333333"/>
          <w:sz w:val="24"/>
          <w:szCs w:val="24"/>
        </w:rPr>
        <w:t>Семейную ипотеку продлят и сделают доступной большему числу граждан.</w:t>
      </w:r>
    </w:p>
    <w:p>
      <w:pPr>
        <w:pStyle w:val="Normal"/>
        <w:widowControl/>
        <w:spacing w:lineRule="atLeast" w:line="240" w:before="0" w:after="80"/>
        <w:ind w:left="0" w:right="480" w:hanging="0"/>
        <w:jc w:val="left"/>
        <w:rPr>
          <w:b w:val="false"/>
          <w:i w:val="false"/>
          <w:color w:val="FFFFFF"/>
          <w:shd w:fill="1E3685" w:val="clear"/>
        </w:rPr>
      </w:pPr>
      <w:r>
        <w:rPr>
          <w:rFonts w:ascii="Times New Roman" w:hAnsi="Times New Roman"/>
          <w:caps w:val="false"/>
          <w:smallCaps w:val="false"/>
          <w:color w:val="000000"/>
          <w:spacing w:val="0"/>
          <w:sz w:val="24"/>
          <w:szCs w:val="24"/>
        </w:rPr>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Согласно постановлению Правительства Российской Федерации от 08.10.2022 № 1791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семьи, имеющие детей, смогут получить ипотечный жилищный кредит (заем) по льготной ставке до 1 июля 2024 года при условии рождения в семье ребенка до 31 декабря 2023 года (включительно) по ставке 6 процентов годовых на весь срок кредита (займа).</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Кроме этого, документом уточнен порядок возмещения российским кредитным организациям и акционерному обществу «ДОМ.РФ» недополученных доходов по ипотечным жилищным кредитам (займам), выданным на льготных условиях в рамках программ «Семейная ипотека» и «Льготная ипотека», и по которым сумма такого кредита (займа) превышает 6 млн. рублей - для жилых помещений, расположенных на территориях субъектов РФ, за исключением г. Москвы, Московской области, г. Санкт-Петербурга и Ленинградской области, или 12 млн рублей - для жилых помещений, расположенных на территориях г. Москвы, Московской области, г. Санкт-Петербурга и Ленинградской области.</w:t>
      </w:r>
    </w:p>
    <w:p>
      <w:pPr>
        <w:pStyle w:val="Style16"/>
        <w:spacing w:before="0" w:after="0"/>
        <w:rPr>
          <w:rFonts w:ascii="Times New Roman" w:hAnsi="Times New Roman"/>
          <w:sz w:val="24"/>
          <w:szCs w:val="24"/>
        </w:rPr>
      </w:pPr>
      <w:r>
        <w:rPr>
          <w:rFonts w:ascii="Times New Roman" w:hAnsi="Times New Roman"/>
          <w:sz w:val="24"/>
          <w:szCs w:val="24"/>
        </w:rPr>
      </w:r>
    </w:p>
    <w:p>
      <w:pPr>
        <w:pStyle w:val="Style16"/>
        <w:spacing w:before="0" w:after="0"/>
        <w:rPr>
          <w:rFonts w:ascii="Times New Roman" w:hAnsi="Times New Roman"/>
          <w:sz w:val="24"/>
          <w:szCs w:val="24"/>
        </w:rPr>
      </w:pPr>
      <w:r>
        <w:rPr>
          <w:rFonts w:ascii="Times New Roman" w:hAnsi="Times New Roman"/>
          <w:sz w:val="24"/>
          <w:szCs w:val="24"/>
        </w:rPr>
        <w:t xml:space="preserve">5. </w:t>
      </w:r>
      <w:r>
        <w:rPr>
          <w:rFonts w:ascii="Times New Roman" w:hAnsi="Times New Roman"/>
          <w:b/>
          <w:color w:val="333333"/>
          <w:sz w:val="24"/>
          <w:szCs w:val="24"/>
        </w:rPr>
        <w:t>О школьной форме</w:t>
      </w:r>
    </w:p>
    <w:p>
      <w:pPr>
        <w:pStyle w:val="Normal"/>
        <w:widowControl/>
        <w:spacing w:lineRule="atLeast" w:line="240" w:before="0" w:after="80"/>
        <w:ind w:left="0" w:right="480" w:hanging="0"/>
        <w:jc w:val="left"/>
        <w:rPr>
          <w:b w:val="false"/>
          <w:i w:val="false"/>
          <w:color w:val="FFFFFF"/>
          <w:shd w:fill="1E3685" w:val="clear"/>
        </w:rPr>
      </w:pPr>
      <w:r>
        <w:rPr>
          <w:rFonts w:ascii="Times New Roman" w:hAnsi="Times New Roman"/>
          <w:caps w:val="false"/>
          <w:smallCaps w:val="false"/>
          <w:color w:val="000000"/>
          <w:spacing w:val="0"/>
          <w:sz w:val="24"/>
          <w:szCs w:val="24"/>
        </w:rPr>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В соответствии с частями 1, 3 статьи 28 Федерального закона от 29 декабря 2012 г. № 273-ФЗ «Об образовании в Российской Федерации»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На основании статьи 38 Федерального закона требования к одежде обучающихся, в том числе требования к ее общему виду, цвету, фасону, видам одежды, знакам отличия, и правила ее ношения устанавливаются государственными и муниципальными организациями, осуществляющими образовательную деятельность по образовательным программам начального общего, основного общего и среднего общего образования, самостоятельно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В случае наличия конкретных фактов нарушения указанных требований  можно обратиться в орган государственной власти субъекта Российской Федерации, которому согласно статьям 7 и 93 Федерального закона переданы функции по государственному контролю (надзору) в сфере образования за деятельностью организаций, осуществляющих образовательную деятельность на территории субъекта Российской Федерации, а также органы местного самоуправления, осуществляющие управление в сфере образования на соответствующей территории.</w:t>
      </w:r>
    </w:p>
    <w:p>
      <w:pPr>
        <w:pStyle w:val="Style16"/>
        <w:spacing w:before="0" w:after="0"/>
        <w:rPr>
          <w:rFonts w:ascii="Times New Roman" w:hAnsi="Times New Roman"/>
          <w:sz w:val="24"/>
          <w:szCs w:val="24"/>
        </w:rPr>
      </w:pPr>
      <w:r>
        <w:rPr>
          <w:rFonts w:ascii="Times New Roman" w:hAnsi="Times New Roman"/>
          <w:sz w:val="24"/>
          <w:szCs w:val="24"/>
        </w:rPr>
        <w:t xml:space="preserve">6. </w:t>
      </w:r>
      <w:r>
        <w:rPr>
          <w:rFonts w:ascii="Times New Roman" w:hAnsi="Times New Roman"/>
          <w:b/>
          <w:color w:val="333333"/>
          <w:sz w:val="24"/>
          <w:szCs w:val="24"/>
        </w:rPr>
        <w:t>Ответственность за продажу алкоголя несовершеннолетним</w:t>
      </w:r>
    </w:p>
    <w:p>
      <w:pPr>
        <w:pStyle w:val="Normal"/>
        <w:widowControl/>
        <w:spacing w:lineRule="atLeast" w:line="240" w:before="0" w:after="80"/>
        <w:ind w:left="0" w:right="480" w:hanging="0"/>
        <w:jc w:val="left"/>
        <w:rPr>
          <w:b w:val="false"/>
          <w:i w:val="false"/>
          <w:color w:val="FFFFFF"/>
          <w:shd w:fill="1E3685" w:val="clear"/>
        </w:rPr>
      </w:pPr>
      <w:r>
        <w:rPr>
          <w:rFonts w:ascii="Times New Roman" w:hAnsi="Times New Roman"/>
          <w:caps w:val="false"/>
          <w:smallCaps w:val="false"/>
          <w:color w:val="000000"/>
          <w:spacing w:val="0"/>
          <w:sz w:val="24"/>
          <w:szCs w:val="24"/>
        </w:rPr>
      </w:r>
    </w:p>
    <w:p>
      <w:pPr>
        <w:pStyle w:val="Style16"/>
        <w:widowControl/>
        <w:spacing w:lineRule="auto" w:line="384" w:before="0" w:after="140"/>
        <w:jc w:val="both"/>
        <w:rPr>
          <w:rFonts w:ascii="Times New Roman" w:hAnsi="Times New Roman"/>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shd w:fill="FFFFFF" w:val="clear"/>
        </w:rPr>
        <w:t>Действующим законодательством об обороте алкогольной продукции продажа алкоголя несовершеннолетним в России запрещена.</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За совершение данного деяния впервые частью 2.1 статьи 14.16 Кодекса об административных правонарушениях Российской Федерации предусмотрена административная ответственность в виде штрафа как для физических, так и для юридических лиц.</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Размер штрафа, налагаемого на граждан, может составлять от тридцати до пятидесяти тысяч рублей; на должностных лиц - от ста до двухсот тысяч рублей; на юридических лиц - от трехсот до пятисот тысяч рублей. Повторное правонарушение влечет усиление ответственности.</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Кроме того, неоднократная розничная продажа несовершеннолетним алкогольной продукции, влечет уголовную ответственность по статье 151.1 Уголовного кодекса Российской Федерации  и может наказываться штрафом в размере от пятидесяти до восьмидесяти тысяч рублей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Важно: нарушение считается неоднократным, если оно совершено лицом, подвергнутым административному наказанию за аналогичные действия, то есть в истечение одного года со дня окончания исполнения постановления о назначении административного наказания.</w:t>
      </w:r>
    </w:p>
    <w:p>
      <w:pPr>
        <w:pStyle w:val="Style16"/>
        <w:widowControl/>
        <w:spacing w:lineRule="auto" w:line="384" w:before="0" w:after="140"/>
        <w:jc w:val="both"/>
        <w:rPr>
          <w:rFonts w:ascii="Times New Roman" w:hAnsi="Times New Roman"/>
          <w:color w:val="333333"/>
          <w:sz w:val="24"/>
          <w:szCs w:val="24"/>
        </w:rPr>
      </w:pPr>
      <w:r>
        <w:rPr>
          <w:rFonts w:ascii="Times New Roman" w:hAnsi="Times New Roman"/>
          <w:caps w:val="false"/>
          <w:smallCaps w:val="false"/>
          <w:color w:val="333333"/>
          <w:spacing w:val="0"/>
          <w:sz w:val="24"/>
          <w:szCs w:val="24"/>
        </w:rPr>
        <w:t> </w:t>
      </w:r>
      <w:r>
        <w:rPr>
          <w:rFonts w:ascii="Times New Roman" w:hAnsi="Times New Roman"/>
          <w:caps w:val="false"/>
          <w:smallCaps w:val="false"/>
          <w:color w:val="333333"/>
          <w:spacing w:val="0"/>
          <w:sz w:val="24"/>
          <w:szCs w:val="24"/>
        </w:rPr>
        <w:t xml:space="preserve">7. </w:t>
      </w:r>
      <w:r>
        <w:rPr>
          <w:rFonts w:ascii="Times New Roman" w:hAnsi="Times New Roman"/>
          <w:b/>
          <w:color w:val="333333"/>
          <w:sz w:val="24"/>
          <w:szCs w:val="24"/>
        </w:rPr>
        <w:t>О звании «Мать-героиня».</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В СССР звание «Мать-героиня» было установлено в 1944 году. После распада Союза не угасали дискуссии о восстановлении почетного звания.</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Указом Президента Российской Федерации для присвоения матери, являющейся гражданкой Российской Федерации, родившей и воспитавшей десять и более детей, являющихся гражданами Российской Федерации, в 2022 году установлено звание «Мать-героиня».</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Звание «Мать-героиня» является высшей степенью отличия для женщин, родивших и воспитавших десять и более детей, образовавшей социально ответственную семью и обеспечивающей надлежащий уровень заботы о здоровье, образовании, физическом, духовном и нравственном развитии.</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Указанное звание присваивается матери по достижении десятым ребенком возраста одного года, и при наличии в живых остальных детей.</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Вместе с тем, будут учтены дети, погибшие или пропавшие без вести при защите Отечества или его интересов, при исполнении воинского, служебного или гражданского долга, а также в результате террористических актов и чрезвычайных ситуаций,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shd w:fill="FFFFFF" w:val="clear"/>
        </w:rPr>
      </w:pPr>
      <w:r>
        <w:rPr>
          <w:rFonts w:ascii="Times New Roman" w:hAnsi="Times New Roman"/>
          <w:b w:val="false"/>
          <w:i w:val="false"/>
          <w:caps w:val="false"/>
          <w:smallCaps w:val="false"/>
          <w:color w:val="333333"/>
          <w:spacing w:val="0"/>
          <w:sz w:val="24"/>
          <w:szCs w:val="24"/>
          <w:shd w:fill="FFFFFF" w:val="clear"/>
        </w:rPr>
        <w:t>Матери-героине вручаются знак особого отличия - орден «Мать-героиня», Грамота о присвоении звания «Мать-героиня», единовременное денежное поощрение в размере 1 млн. рублей.</w:t>
      </w:r>
    </w:p>
    <w:p>
      <w:pPr>
        <w:pStyle w:val="Style16"/>
        <w:widowControl/>
        <w:spacing w:lineRule="auto" w:line="384" w:before="0" w:after="140"/>
        <w:jc w:val="both"/>
        <w:rPr>
          <w:rFonts w:ascii="Times New Roman" w:hAnsi="Times New Roman"/>
          <w:color w:val="333333"/>
          <w:sz w:val="24"/>
          <w:szCs w:val="24"/>
        </w:rPr>
      </w:pPr>
      <w:r>
        <w:rPr>
          <w:rFonts w:ascii="Times New Roman" w:hAnsi="Times New Roman"/>
          <w:caps w:val="false"/>
          <w:smallCaps w:val="false"/>
          <w:color w:val="333333"/>
          <w:spacing w:val="0"/>
          <w:sz w:val="24"/>
          <w:szCs w:val="24"/>
          <w:lang w:val="en-US"/>
        </w:rPr>
        <w:t xml:space="preserve">8. </w:t>
      </w:r>
      <w:r>
        <w:rPr>
          <w:rFonts w:ascii="Times New Roman" w:hAnsi="Times New Roman"/>
          <w:b/>
          <w:color w:val="333333"/>
          <w:sz w:val="24"/>
          <w:szCs w:val="24"/>
        </w:rPr>
        <w:t>О датах выплаты пособий на детей</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С 1 июня меняется график выплат социальных пособий на детей. Ранее регионы могли устанавливать свои сроки, однако теперь Социальный фонд будет переводить деньги на банковскую карту в единые дни по всей стране.</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Единое детское пособие будет выплачиваться 3 числа каждого месяца (выплата за май поступит 3 июня, за июнь – 3 июля и так далее). Выплаты из материнского капитала будут производиться 5 числа каждого месяца. Пособие по уходу за ребенком до 1,5 лет будет выплачиваться 8 числа каждого месяца.</w:t>
      </w:r>
    </w:p>
    <w:p>
      <w:pPr>
        <w:pStyle w:val="Style16"/>
        <w:widowControl/>
        <w:spacing w:lineRule="auto" w:line="384" w:before="0" w:after="140"/>
        <w:jc w:val="both"/>
        <w:rPr>
          <w:rFonts w:ascii="Times New Roman" w:hAnsi="Times New Roman"/>
          <w:color w:val="333333"/>
          <w:sz w:val="24"/>
          <w:szCs w:val="24"/>
        </w:rPr>
      </w:pPr>
      <w:r>
        <w:rPr>
          <w:rFonts w:ascii="Times New Roman" w:hAnsi="Times New Roman"/>
          <w:caps w:val="false"/>
          <w:smallCaps w:val="false"/>
          <w:color w:val="333333"/>
          <w:spacing w:val="0"/>
          <w:sz w:val="24"/>
          <w:szCs w:val="24"/>
          <w:lang w:val="ru-RU"/>
        </w:rPr>
        <w:t xml:space="preserve">9. </w:t>
      </w:r>
      <w:r>
        <w:rPr>
          <w:rFonts w:ascii="Times New Roman" w:hAnsi="Times New Roman"/>
          <w:b/>
          <w:color w:val="333333"/>
          <w:sz w:val="24"/>
          <w:szCs w:val="24"/>
        </w:rPr>
        <w:t>Усилена ответственность за вовлечение несовершеннолетнего в табакокурение</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С 9 мая 2023 года за вовлечение несовершеннолетнего в процесс потребления табака или никотинсодержащей продукции увеличен штраф для граждан с 1 - 2 тысяч рублей до 2 – 5 тысяч рублей, а для родителей (законных представителей) несовершеннолетнего с 2 - 3 тысяч до 5 - 7 тысяч рублей.</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Под вовлечением несовершеннолетних в процесс потребления табака понимается покупка для ребенка либо передачи ему табачных изделий или табачной продукции, предложения, требования употребить табачные изделия или табачную продукцию любым способом.</w:t>
      </w:r>
    </w:p>
    <w:p>
      <w:pPr>
        <w:pStyle w:val="Style16"/>
        <w:widowControl/>
        <w:spacing w:lineRule="auto" w:line="384" w:before="0" w:after="140"/>
        <w:jc w:val="both"/>
        <w:rPr>
          <w:rFonts w:ascii="Times New Roman" w:hAnsi="Times New Roman"/>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Также, с указанной даты повышены штрафы за продажу несовершеннолетнему табачной и никотинсодержащей продукции, табачных изделий, кальянов, устройств для потребления никотинсодержащей продукции: для граждан - с ранее действующих 20-40 тыс. руб. до 40-60 тыс. руб.; для должностных лиц - с 40-70 тыс. руб. до 150-300 тыс. руб.; для юридических лиц - со 150-300 тыс. руб. до 400-600 тыс. руб.</w:t>
      </w:r>
    </w:p>
    <w:p>
      <w:pPr>
        <w:pStyle w:val="Style16"/>
        <w:widowControl/>
        <w:spacing w:lineRule="auto" w:line="384" w:before="0" w:after="140"/>
        <w:jc w:val="both"/>
        <w:rPr>
          <w:rFonts w:ascii="Times New Roman" w:hAnsi="Times New Roman"/>
          <w:color w:val="333333"/>
          <w:sz w:val="24"/>
          <w:szCs w:val="24"/>
        </w:rPr>
      </w:pPr>
      <w:r>
        <w:rPr>
          <w:rFonts w:ascii="Times New Roman" w:hAnsi="Times New Roman"/>
          <w:b w:val="false"/>
          <w:i w:val="false"/>
          <w:caps w:val="false"/>
          <w:smallCaps w:val="false"/>
          <w:color w:val="333333"/>
          <w:spacing w:val="0"/>
          <w:sz w:val="24"/>
          <w:szCs w:val="24"/>
        </w:rPr>
        <w:t xml:space="preserve">10. </w:t>
      </w:r>
      <w:r>
        <w:rPr>
          <w:rFonts w:ascii="Times New Roman" w:hAnsi="Times New Roman"/>
          <w:b/>
          <w:color w:val="333333"/>
          <w:sz w:val="24"/>
          <w:szCs w:val="24"/>
        </w:rPr>
        <w:t>Об изменениях законодательства в сфере организации летнего отдыха и оздоровления детей</w:t>
      </w:r>
    </w:p>
    <w:p>
      <w:pPr>
        <w:pStyle w:val="Style16"/>
        <w:widowControl/>
        <w:spacing w:lineRule="auto" w:line="384" w:before="0" w:after="140"/>
        <w:ind w:left="0" w:right="0" w:hanging="0"/>
        <w:jc w:val="both"/>
        <w:rPr>
          <w:rFonts w:ascii="Times New Roman" w:hAnsi="Times New Roman"/>
          <w:sz w:val="24"/>
          <w:szCs w:val="24"/>
        </w:rPr>
      </w:pPr>
      <w:r>
        <w:rPr>
          <w:rFonts w:ascii="Times New Roman" w:hAnsi="Times New Roman"/>
          <w:b w:val="false"/>
          <w:i w:val="false"/>
          <w:caps w:val="false"/>
          <w:smallCaps w:val="false"/>
          <w:color w:val="333333"/>
          <w:spacing w:val="0"/>
          <w:sz w:val="24"/>
          <w:szCs w:val="24"/>
        </w:rPr>
        <w:t>Федеральным законом от 03.04.2023 № 96-ФЗ «О внесении изменений в отдельные законодательные акты Российской Федерации» урегулированы отдельные вопросы использования организациями отдыха детей и их оздоровления акватории водных объектов.</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Так, введено понятие «территория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В соответствии с внесенными изменениями организации отдыха и оздоровления детей смогут использовать акваторию водных объектов на основании договора водопользования, заключаемого без проведения аукциона.</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pPr>
        <w:pStyle w:val="Style16"/>
        <w:widowControl/>
        <w:spacing w:lineRule="auto" w:line="384" w:before="0" w:after="140"/>
        <w:jc w:val="both"/>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Правила включают в себя особенности использования расположенных на территории организации отдыха детей и их оздоровления водного объекта, участка береговой полосы, особенности доступа к ним, а также правила поведения на таких территориях.</w:t>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Изменения вступили в силу с 14.04.2023.</w:t>
      </w:r>
    </w:p>
    <w:p>
      <w:pPr>
        <w:pStyle w:val="Style16"/>
        <w:widowControl/>
        <w:suppressAutoHyphens w:val="true"/>
        <w:bidi w:val="0"/>
        <w:spacing w:lineRule="auto" w:line="384" w:before="0" w:after="140"/>
        <w:ind w:left="0" w:right="-510" w:hanging="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t>Обзор разъяснений законодательства подготовлен заместителем прокурора райна И.В. Наумовой</w:t>
      </w:r>
    </w:p>
    <w:p>
      <w:pPr>
        <w:pStyle w:val="Style16"/>
        <w:spacing w:before="0" w:after="0"/>
        <w:rPr>
          <w:rFonts w:ascii="Times New Roman" w:hAnsi="Times New Roman"/>
          <w:sz w:val="24"/>
          <w:szCs w:val="24"/>
        </w:rPr>
      </w:pPr>
      <w:r>
        <w:rPr>
          <w:rFonts w:ascii="Times New Roman" w:hAnsi="Times New Roman"/>
          <w:sz w:val="24"/>
          <w:szCs w:val="24"/>
        </w:rPr>
      </w:r>
    </w:p>
    <w:p>
      <w:pPr>
        <w:pStyle w:val="Style16"/>
        <w:widowControl/>
        <w:spacing w:lineRule="auto" w:line="384" w:before="0" w:after="140"/>
        <w:jc w:val="both"/>
        <w:rPr>
          <w:b w:val="false"/>
          <w:i w:val="false"/>
        </w:rPr>
      </w:pPr>
      <w:r>
        <w:rPr>
          <w:rFonts w:ascii="Times New Roman" w:hAnsi="Times New Roman"/>
          <w:caps w:val="false"/>
          <w:smallCaps w:val="false"/>
          <w:color w:val="333333"/>
          <w:spacing w:val="0"/>
          <w:sz w:val="24"/>
          <w:szCs w:val="24"/>
        </w:rPr>
      </w:r>
    </w:p>
    <w:p>
      <w:pPr>
        <w:pStyle w:val="Style16"/>
        <w:spacing w:before="0" w:after="0"/>
        <w:rPr>
          <w:rFonts w:ascii="Times New Roman" w:hAnsi="Times New Roman"/>
          <w:sz w:val="24"/>
          <w:szCs w:val="24"/>
        </w:rPr>
      </w:pPr>
      <w:r>
        <w:rPr>
          <w:rFonts w:ascii="Times New Roman" w:hAnsi="Times New Roman"/>
          <w:sz w:val="24"/>
          <w:szCs w:val="24"/>
        </w:rPr>
      </w:r>
    </w:p>
    <w:p>
      <w:pPr>
        <w:pStyle w:val="Style16"/>
        <w:widowControl/>
        <w:spacing w:lineRule="auto" w:line="384" w:before="0" w:after="140"/>
        <w:jc w:val="left"/>
        <w:rPr>
          <w:rFonts w:ascii="Times New Roman" w:hAnsi="Times New Roman"/>
          <w:b w:val="false"/>
          <w:i w:val="false"/>
          <w:caps w:val="false"/>
          <w:smallCaps w:val="false"/>
          <w:color w:val="333333"/>
          <w:spacing w:val="0"/>
          <w:sz w:val="24"/>
          <w:szCs w:val="24"/>
        </w:rPr>
      </w:pPr>
      <w:r>
        <w:rPr>
          <w:rFonts w:ascii="Times New Roman" w:hAnsi="Times New Roman"/>
          <w:b w:val="false"/>
          <w:i w:val="false"/>
          <w:caps w:val="false"/>
          <w:smallCaps w:val="false"/>
          <w:color w:val="333333"/>
          <w:spacing w:val="0"/>
          <w:sz w:val="24"/>
          <w:szCs w:val="24"/>
        </w:rPr>
      </w:r>
    </w:p>
    <w:p>
      <w:pPr>
        <w:pStyle w:val="Style16"/>
        <w:spacing w:before="0" w:after="0"/>
        <w:rPr>
          <w:rFonts w:ascii="Times New Roman" w:hAnsi="Times New Roman"/>
          <w:sz w:val="24"/>
          <w:szCs w:val="24"/>
        </w:rPr>
      </w:pPr>
      <w:r>
        <w:rPr>
          <w:rFonts w:ascii="Times New Roman" w:hAnsi="Times New Roman"/>
          <w:sz w:val="24"/>
          <w:szCs w:val="24"/>
        </w:rPr>
      </w:r>
    </w:p>
    <w:p>
      <w:pPr>
        <w:pStyle w:val="Normal"/>
        <w:widowControl/>
        <w:bidi w:val="0"/>
        <w:ind w:left="0" w:right="0" w:hanging="0"/>
        <w:jc w:val="left"/>
        <w:rPr>
          <w:b/>
          <w:b/>
          <w:i w:val="false"/>
          <w:i w:val="false"/>
          <w:caps w:val="false"/>
          <w:smallCaps w:val="false"/>
          <w:color w:val="333333"/>
          <w:spacing w:val="0"/>
        </w:rPr>
      </w:pPr>
      <w:r>
        <w:rPr>
          <w:rFonts w:ascii="Times New Roman" w:hAnsi="Times New Roman"/>
          <w:sz w:val="24"/>
          <w:szCs w:val="24"/>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character" w:styleId="Style14">
    <w:name w:val="Маркеры"/>
    <w:qFormat/>
    <w:rPr>
      <w:rFonts w:ascii="OpenSymbol" w:hAnsi="OpenSymbol" w:eastAsia="OpenSymbol" w:cs="OpenSymbol"/>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LibreOffice/7.2.5.2$Windows_X86_64 LibreOffice_project/499f9727c189e6ef3471021d6132d4c694f357e5</Application>
  <AppVersion>15.0000</AppVersion>
  <Pages>9</Pages>
  <Words>2082</Words>
  <Characters>14119</Characters>
  <CharactersWithSpaces>16103</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2023-06-20T18:07:50Z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