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Подписан закон о принудительном преобразовании располагающихся на территории РФ филиалов иностранных компаний в ООО, а также вносящий изменения в некоторые законодательные акты.</w:t>
      </w:r>
    </w:p>
    <w:p w:rsidR="00E04931" w:rsidRPr="007A1A7C" w:rsidRDefault="00E04931" w:rsidP="00E0493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Законом устанавливаются условия, при одновременном соответствии которым филиал (представительство) иностранного юрлица могут быть преобразованы в ООО, а также определяются требования к порядку его проведения.</w:t>
      </w:r>
    </w:p>
    <w:p w:rsidR="00E04931" w:rsidRPr="007A1A7C" w:rsidRDefault="00E04931" w:rsidP="00E0493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Решение о преобразовании может быть принято арбитражным судом при наличии одного из установленных оснований (в т.ч. отказ (уклонение) иностранного юрлица от использования </w:t>
      </w:r>
      <w:proofErr w:type="gramStart"/>
      <w:r w:rsidRPr="007A1A7C">
        <w:rPr>
          <w:szCs w:val="28"/>
        </w:rPr>
        <w:t>по целевому назначению</w:t>
      </w:r>
      <w:proofErr w:type="gramEnd"/>
      <w:r w:rsidRPr="007A1A7C">
        <w:rPr>
          <w:szCs w:val="28"/>
        </w:rPr>
        <w:t xml:space="preserve"> принадлежащего ему имущества, фактическое прекращение управления деятельностью филиала (представительства); принятие решения о ликвидации (упразднении).</w:t>
      </w:r>
    </w:p>
    <w:p w:rsidR="00E04931" w:rsidRPr="007A1A7C" w:rsidRDefault="00E04931" w:rsidP="00E0493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Дела о преобразовании будут рассматриваться Арбитражным судом Московской области по правилам, предусмотренным АГIК РФ, с учетом особенностей, установленных настоящим законом.</w:t>
      </w:r>
    </w:p>
    <w:p w:rsidR="00E04931" w:rsidRPr="007A1A7C" w:rsidRDefault="00E04931" w:rsidP="00E0493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Вносятся также изменения в Федеральный закон «О государственной регистрации юридических лиц и индивидуальных предпринимателей» (в части определения порядка госрегистрации юрлица при его создании на основании судебного акта).</w:t>
      </w:r>
    </w:p>
    <w:p w:rsidR="00E04931" w:rsidRPr="007A1A7C" w:rsidRDefault="00E04931" w:rsidP="00E04931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320-ФЗ (вступает в силу с 25.07.2022)</w:t>
      </w:r>
    </w:p>
    <w:p w:rsidR="00E04931" w:rsidRPr="007A1A7C" w:rsidRDefault="00E04931" w:rsidP="00E04931">
      <w:pPr>
        <w:spacing w:after="0" w:line="240" w:lineRule="auto"/>
        <w:ind w:left="0" w:right="7" w:firstLine="709"/>
        <w:rPr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</w:p>
    <w:p w:rsidR="00E04931" w:rsidRPr="007A1A7C" w:rsidRDefault="00E04931" w:rsidP="00E04931">
      <w:pPr>
        <w:spacing w:after="0" w:line="240" w:lineRule="auto"/>
        <w:ind w:left="0" w:right="7" w:firstLine="709"/>
        <w:rPr>
          <w:b/>
          <w:szCs w:val="28"/>
        </w:rPr>
      </w:pPr>
      <w:bookmarkStart w:id="0" w:name="_GoBack"/>
      <w:bookmarkEnd w:id="0"/>
    </w:p>
    <w:sectPr w:rsidR="00E04931" w:rsidRPr="007A1A7C" w:rsidSect="004A0481">
      <w:headerReference w:type="even" r:id="rId7"/>
      <w:headerReference w:type="default" r:id="rId8"/>
      <w:headerReference w:type="first" r:id="rId9"/>
      <w:pgSz w:w="11902" w:h="16834"/>
      <w:pgMar w:top="468" w:right="497" w:bottom="495" w:left="4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4931">
      <w:pPr>
        <w:spacing w:after="0" w:line="240" w:lineRule="auto"/>
      </w:pPr>
      <w:r>
        <w:separator/>
      </w:r>
    </w:p>
  </w:endnote>
  <w:endnote w:type="continuationSeparator" w:id="0">
    <w:p w:rsidR="00000000" w:rsidRDefault="00E0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4931">
      <w:pPr>
        <w:spacing w:after="0" w:line="240" w:lineRule="auto"/>
      </w:pPr>
      <w:r>
        <w:separator/>
      </w:r>
    </w:p>
  </w:footnote>
  <w:footnote w:type="continuationSeparator" w:id="0">
    <w:p w:rsidR="00000000" w:rsidRDefault="00E0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3143D8"/>
    <w:rsid w:val="004A0481"/>
    <w:rsid w:val="00514ADC"/>
    <w:rsid w:val="0055241A"/>
    <w:rsid w:val="00612209"/>
    <w:rsid w:val="007A1A7C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2022-07-21T09:35:00Z</dcterms:created>
  <dcterms:modified xsi:type="dcterms:W3CDTF">2022-07-21T09:35:00Z</dcterms:modified>
</cp:coreProperties>
</file>