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360" w:before="0" w:after="640"/>
        <w:jc w:val="start"/>
        <w:rPr>
          <w:rFonts w:ascii="Roboto-Medium;Arial;serif" w:hAnsi="Roboto-Medium;Arial;serif"/>
          <w:b/>
          <w:color w:val="333333"/>
          <w:sz w:val="24"/>
        </w:rPr>
      </w:pPr>
      <w:r>
        <w:rPr>
          <w:rFonts w:ascii="Roboto-Medium;Arial;serif" w:hAnsi="Roboto-Medium;Arial;serif"/>
          <w:b/>
          <w:color w:val="333333"/>
          <w:sz w:val="24"/>
        </w:rPr>
        <w:t>Об ответственности за разглашение информации с ограниченным доступом</w:t>
      </w:r>
    </w:p>
    <w:p>
      <w:pPr>
        <w:pStyle w:val="Normal"/>
        <w:widowControl/>
        <w:bidi w:val="0"/>
        <w:spacing w:lineRule="atLeast" w:line="240" w:before="0" w:after="80"/>
        <w:ind w:start="0" w:end="480" w:hanging="0"/>
        <w:jc w:val="start"/>
        <w:rPr>
          <w:rFonts w:ascii="Roboto" w:hAnsi="Roboto"/>
          <w:b w:val="false"/>
          <w:i w:val="false"/>
          <w:color w:val="FFFFFF"/>
          <w:sz w:val="13"/>
          <w:shd w:fill="1E3685" w:val="clear"/>
        </w:rPr>
      </w:pPr>
      <w:r>
        <w:rPr>
          <w:caps w:val="false"/>
          <w:smallCaps w:val="false"/>
          <w:color w:val="000000"/>
          <w:spacing w:val="0"/>
        </w:rPr>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В соответствии с ч. 1 ст. 9 Федерального закона от 27.07.2006 №149-ФЗ «Об информации, информационных технологиях и о защите информации»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может быть ограничен доступ к информации. За разглашение конфиденциальной информации федеральными законами предусмотрена ответственность.</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Так, в соответствии с Уголовным кодексом Российской Федерации (статьи 137, 138, 155, 183, 283, 310) за разглашение государственной, коммерческой, налоговой или банковской тайны, данных предварительного расследования, нарушение неприкосновенности частной жизни, тайны усыновления (удочерения), тайны переписки, телефонных переговоров, почтовых, телеграфных или иных сообщений наступает уголовная ответственность.</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Статьей 13.14 Кодекса Российской Федерации об административных правонарушениях предусмотрена административная ответственность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Кроме того, виновное лицо может быть привлечено к дисциплинарной ответственности. В соответствии с подпунктом «в» пункта 6 части первой статьи 81 Трудового кодекса Российской Федерации разглашение охраняемой законом тайны, ставшей известной работнику в связи с исполнением им трудовых обязанностей, является основанием для его увольнения.</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Roboto-Medium">
    <w:altName w:val="Arial"/>
    <w:charset w:val="cc" w:characterSet="windows-1251"/>
    <w:family w:val="auto"/>
    <w:pitch w:val="default"/>
  </w:font>
  <w:font w:name="Roboto">
    <w:charset w:val="cc" w:characterSet="windows-1251"/>
    <w:family w:val="auto"/>
    <w:pitch w:val="default"/>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1</Pages>
  <Words>197</Words>
  <Characters>1486</Characters>
  <CharactersWithSpaces>1678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2023-06-14T17:27:42Z</dcterms:modified>
  <cp:revision>1</cp:revision>
  <dc:subject/>
  <dc:title/>
</cp:coreProperties>
</file>